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56" w:rsidRDefault="00657F56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1879F4" w:rsidRPr="00731320" w:rsidRDefault="001879F4" w:rsidP="00657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1879F4" w:rsidRPr="00731320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</w:p>
    <w:p w:rsidR="001879F4" w:rsidRPr="00731320" w:rsidRDefault="001879F4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731320">
        <w:rPr>
          <w:rFonts w:ascii="Times New Roman" w:eastAsia="Times New Roman" w:hAnsi="Times New Roman"/>
          <w:sz w:val="16"/>
          <w:szCs w:val="16"/>
        </w:rPr>
        <w:t>Законный представитель: ______________ ______________________</w:t>
      </w:r>
    </w:p>
    <w:p w:rsidR="00696DCA" w:rsidRPr="00731320" w:rsidRDefault="00696DCA" w:rsidP="00696DC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731320">
        <w:rPr>
          <w:rFonts w:ascii="Times New Roman" w:eastAsia="Times New Roman" w:hAnsi="Times New Roman"/>
          <w:sz w:val="12"/>
          <w:szCs w:val="12"/>
        </w:rPr>
        <w:t xml:space="preserve">                                     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 (подпись)</w:t>
      </w:r>
      <w:r>
        <w:rPr>
          <w:rFonts w:ascii="Times New Roman" w:eastAsia="Times New Roman" w:hAnsi="Times New Roman"/>
          <w:sz w:val="12"/>
          <w:szCs w:val="12"/>
        </w:rPr>
        <w:t xml:space="preserve">                        </w:t>
      </w:r>
      <w:r w:rsidRPr="00731320">
        <w:rPr>
          <w:rFonts w:ascii="Times New Roman" w:eastAsia="Times New Roman" w:hAnsi="Times New Roman"/>
          <w:sz w:val="12"/>
          <w:szCs w:val="12"/>
        </w:rPr>
        <w:t xml:space="preserve">  (Ф.И.О.)</w:t>
      </w:r>
    </w:p>
    <w:p w:rsidR="001879F4" w:rsidRPr="004C6113" w:rsidRDefault="001879F4" w:rsidP="009B0225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0"/>
          <w:szCs w:val="10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законного представителя</w:t>
      </w:r>
      <w:r w:rsidR="005371D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C81F23" w:rsidP="001879F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</w:t>
            </w:r>
            <w:r w:rsidR="001879F4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1879F4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="001879F4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="001879F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1879F4"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202B56" w:rsidRDefault="009B0225" w:rsidP="00202B56">
      <w:pPr>
        <w:shd w:val="clear" w:color="auto" w:fill="FFFFFF" w:themeFill="background1"/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proofErr w:type="gram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</w:t>
      </w:r>
      <w:proofErr w:type="gramEnd"/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gramStart"/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Росздравнадзора по Алтайскому краю), адрес: 656011, г. Барнаул,  пр.</w:t>
      </w:r>
      <w:proofErr w:type="gramEnd"/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Ленина, д.145, тел./факс (3852)-22-65-48, тел./факс 22-65-71, именуемое в дальнейшем «Учреждение», </w:t>
      </w:r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в лице начальника отдела финансового контроля и аудита (</w:t>
      </w:r>
      <w:proofErr w:type="spellStart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действующего на основании доверенности № 27 от 16.08.2024 и приказа ФГБУ «ФЦТОЭ» Минздрава России (</w:t>
      </w:r>
      <w:proofErr w:type="spellStart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9E426B" w:rsidRPr="009E426B">
        <w:rPr>
          <w:rFonts w:ascii="Times New Roman" w:eastAsia="Arial" w:hAnsi="Times New Roman"/>
          <w:sz w:val="16"/>
          <w:szCs w:val="16"/>
          <w:lang w:eastAsia="ar-SA"/>
        </w:rPr>
        <w:t>) от 19.08.2024 № 1632-лс «Об исполнении обязанностей» с одной стороны</w:t>
      </w:r>
      <w:r w:rsidR="009E426B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5272FF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</w:t>
      </w:r>
      <w:r w:rsidR="00202B56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="00B0423D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</w:p>
    <w:p w:rsidR="00202B56" w:rsidRPr="00202B56" w:rsidRDefault="00202B56" w:rsidP="00202B56">
      <w:pPr>
        <w:shd w:val="clear" w:color="auto" w:fill="FFFFFF" w:themeFill="background1"/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                                                                                          </w:t>
      </w:r>
      <w:r w:rsidRPr="00202B56">
        <w:rPr>
          <w:rFonts w:ascii="Times New Roman" w:eastAsia="Arial" w:hAnsi="Times New Roman"/>
          <w:sz w:val="16"/>
          <w:szCs w:val="16"/>
          <w:lang w:eastAsia="ar-SA"/>
        </w:rPr>
        <w:t>(Ф.И.О. законного представителя)</w:t>
      </w:r>
    </w:p>
    <w:p w:rsidR="009B0225" w:rsidRPr="00202B56" w:rsidRDefault="009B0225" w:rsidP="00202B56">
      <w:pPr>
        <w:shd w:val="clear" w:color="auto" w:fill="FFFFFF" w:themeFill="background1"/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</w:t>
      </w:r>
      <w:r w:rsidR="00202B56">
        <w:rPr>
          <w:rFonts w:ascii="Times New Roman" w:eastAsia="Arial" w:hAnsi="Times New Roman"/>
          <w:sz w:val="16"/>
          <w:szCs w:val="16"/>
          <w:lang w:eastAsia="ar-SA"/>
        </w:rPr>
        <w:t>нейшем «Законный представитель»</w:t>
      </w:r>
      <w:r w:rsidR="00C81F23">
        <w:rPr>
          <w:rFonts w:ascii="Times New Roman" w:eastAsia="Arial" w:hAnsi="Times New Roman"/>
          <w:sz w:val="16"/>
          <w:szCs w:val="16"/>
          <w:lang w:eastAsia="ar-SA"/>
        </w:rPr>
        <w:t>,</w:t>
      </w:r>
      <w:r w:rsidR="00202B56" w:rsidRPr="00202B56">
        <w:t xml:space="preserve"> </w:t>
      </w:r>
      <w:r w:rsidR="00202B56" w:rsidRPr="00202B56">
        <w:rPr>
          <w:rFonts w:ascii="Times New Roman" w:eastAsia="Arial" w:hAnsi="Times New Roman"/>
          <w:sz w:val="16"/>
          <w:szCs w:val="16"/>
          <w:lang w:eastAsia="ar-SA"/>
        </w:rPr>
        <w:t>действующий(</w:t>
      </w:r>
      <w:proofErr w:type="spellStart"/>
      <w:r w:rsidR="00202B56" w:rsidRPr="00202B56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202B56" w:rsidRPr="00202B56">
        <w:rPr>
          <w:rFonts w:ascii="Times New Roman" w:eastAsia="Arial" w:hAnsi="Times New Roman"/>
          <w:sz w:val="16"/>
          <w:szCs w:val="16"/>
          <w:lang w:eastAsia="ar-SA"/>
        </w:rPr>
        <w:t>) в интересах несовершеннолетнего, либо недееспособного</w:t>
      </w:r>
      <w:r w:rsidR="00202B56">
        <w:rPr>
          <w:rFonts w:ascii="Times New Roman" w:eastAsia="Arial" w:hAnsi="Times New Roman"/>
          <w:sz w:val="16"/>
          <w:szCs w:val="16"/>
          <w:lang w:eastAsia="ar-SA"/>
        </w:rPr>
        <w:t>, либо</w:t>
      </w:r>
      <w:r w:rsidR="00B0423D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</w:t>
      </w:r>
    </w:p>
    <w:p w:rsidR="009B0225" w:rsidRPr="00731320" w:rsidRDefault="009B0225" w:rsidP="00202B56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ограниченно дееспособного лица:</w:t>
      </w:r>
      <w:r w:rsidR="00202B56">
        <w:rPr>
          <w:rFonts w:ascii="Times New Roman" w:eastAsia="Arial" w:hAnsi="Times New Roman"/>
          <w:sz w:val="16"/>
          <w:szCs w:val="16"/>
          <w:lang w:eastAsia="ar-SA"/>
        </w:rPr>
        <w:t xml:space="preserve"> ________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B0423D">
        <w:rPr>
          <w:rFonts w:ascii="Times New Roman" w:eastAsia="Arial" w:hAnsi="Times New Roman"/>
          <w:sz w:val="16"/>
          <w:szCs w:val="16"/>
          <w:lang w:eastAsia="ar-SA"/>
        </w:rPr>
        <w:t>_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</w:t>
      </w:r>
      <w:r w:rsidR="00B0423D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</w:t>
      </w:r>
      <w:r w:rsidR="00C81F23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(Ф.И.О. несовершеннолетнего, либо недееспособного, либо ограниченно дееспособного лица)</w:t>
      </w:r>
    </w:p>
    <w:p w:rsidR="009B0225" w:rsidRPr="00731320" w:rsidRDefault="009B0225" w:rsidP="00B0423D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114746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3B1C94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подтверждает, что </w:t>
      </w:r>
      <w:r w:rsidR="00405E9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>не является лицом, застрахованным по обязательному медицинскому страхованию.</w:t>
      </w:r>
    </w:p>
    <w:p w:rsidR="00114746" w:rsidRPr="00F7369A" w:rsidRDefault="003B1C94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114746" w:rsidRPr="00F7369A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F7369A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F7369A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</w:t>
      </w:r>
      <w:r w:rsidR="00550F4B" w:rsidRPr="00F7369A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F7369A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F7369A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F7369A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F7369A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731320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F7369A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F7369A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BD2EF6" w:rsidRPr="00731320" w:rsidRDefault="00BD2EF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190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95EA8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0D459B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оказывает 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платные 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г.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Барнаул, ул. </w:t>
      </w:r>
      <w:proofErr w:type="spellStart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дни и часы работы, которые устанавливаются администрацией Учреждения и доводятся до сведения Законного представителя.  </w:t>
      </w:r>
    </w:p>
    <w:p w:rsidR="000D459B" w:rsidRPr="00731320" w:rsidRDefault="0032130E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B7527B" w:rsidRPr="00731320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3.1. </w:t>
      </w:r>
      <w:r w:rsidR="00735D3E" w:rsidRPr="00731320">
        <w:rPr>
          <w:rFonts w:ascii="Times New Roman" w:eastAsia="Times New Roman" w:hAnsi="Times New Roman"/>
          <w:sz w:val="16"/>
          <w:szCs w:val="16"/>
          <w:lang w:eastAsia="ar-SA"/>
        </w:rPr>
        <w:t>Стоимость медицинско</w:t>
      </w:r>
      <w:proofErr w:type="gramStart"/>
      <w:r w:rsidR="00735D3E" w:rsidRPr="00731320">
        <w:rPr>
          <w:rFonts w:ascii="Times New Roman" w:eastAsia="Times New Roman" w:hAnsi="Times New Roman"/>
          <w:sz w:val="16"/>
          <w:szCs w:val="16"/>
          <w:lang w:eastAsia="ar-SA"/>
        </w:rPr>
        <w:t>й(</w:t>
      </w:r>
      <w:proofErr w:type="gramEnd"/>
      <w:r w:rsidR="00735D3E" w:rsidRPr="00731320">
        <w:rPr>
          <w:rFonts w:ascii="Times New Roman" w:eastAsia="Times New Roman" w:hAnsi="Times New Roman"/>
          <w:sz w:val="16"/>
          <w:szCs w:val="16"/>
          <w:lang w:eastAsia="ar-SA"/>
        </w:rPr>
        <w:t>их) услуг(и) составляет:</w:t>
      </w:r>
      <w:r w:rsidR="00735D3E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</w:t>
      </w:r>
      <w:r w:rsidR="00735D3E"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735D3E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</w:t>
      </w:r>
      <w:r w:rsidR="00735D3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рублей 00 коп. без учета НДС в соответствии с действующим на момент заключения Договора Прейскурантом цен Учреждения, с которым Законный представитель ознакомлен перед заключением настоящего договора.</w:t>
      </w:r>
    </w:p>
    <w:p w:rsidR="002A01E1" w:rsidRPr="00731320" w:rsidRDefault="00B7527B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Законным представителем 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="002A01E1" w:rsidRPr="00731320">
        <w:t xml:space="preserve">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Законному представителю выдается соответствующий документ (контрольно кассовый чек, квитанция или иной бланк строгой отчетности).  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>Законн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ого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представител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я на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расчетный счет или 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ту же банковскую карту</w:t>
      </w:r>
      <w:r w:rsidR="008D229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аконный представитель произвел расчет по настоящему договору.</w:t>
      </w:r>
    </w:p>
    <w:p w:rsidR="004B6F93" w:rsidRPr="00731320" w:rsidRDefault="004B6F93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я Пациента/Законного представителя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ациента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/З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аконного представителя. Без согласия 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Пациента/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 Учреждение не вправе предоставлять дополнительные медицинские услуги на возмездной основе.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D352AE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D352A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603880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D7535D" w:rsidRPr="00731320" w:rsidRDefault="006E78FB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D7535D" w:rsidRPr="00731320" w:rsidRDefault="00CB4907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5.2. 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AC4C7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7.6. Договор составлен на русском языке. Подписывая договор, Законный представитель подтверждает, что владеет русским языком и текст договора ему понятен.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826AE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</w:t>
      </w:r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Учреждения: 656045, РФ, Алтайский край, г. Барнаул, ул. </w:t>
      </w:r>
      <w:proofErr w:type="spellStart"/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826A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 Законного представителя.</w:t>
      </w:r>
    </w:p>
    <w:p w:rsidR="004409DD" w:rsidRDefault="00B93F2A" w:rsidP="004409DD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826AE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7826AE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Федераци</w:t>
      </w:r>
      <w:r w:rsidR="008D57EA">
        <w:rPr>
          <w:rFonts w:ascii="Times New Roman" w:eastAsia="Times New Roman" w:hAnsi="Times New Roman"/>
          <w:sz w:val="16"/>
          <w:szCs w:val="16"/>
          <w:lang w:eastAsia="ar-SA"/>
        </w:rPr>
        <w:t>и «О защите прав потребителей»</w:t>
      </w:r>
    </w:p>
    <w:p w:rsidR="00E668E8" w:rsidRPr="00342059" w:rsidRDefault="00E668E8" w:rsidP="00E668E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B7527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D7535D" w:rsidRPr="00731320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5256"/>
      </w:tblGrid>
      <w:tr w:rsidR="009B0225" w:rsidRPr="00731320" w:rsidTr="00B82EEB">
        <w:trPr>
          <w:trHeight w:val="1721"/>
        </w:trPr>
        <w:tc>
          <w:tcPr>
            <w:tcW w:w="4872" w:type="dxa"/>
          </w:tcPr>
          <w:p w:rsidR="00123280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94181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19418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C81F23" w:rsidRDefault="00C66401" w:rsidP="00C6640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6640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ОКЦ № 2 </w:t>
            </w:r>
            <w:proofErr w:type="spellStart"/>
            <w:r w:rsidRPr="00C6640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C6640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Алтайскому краю </w:t>
            </w:r>
          </w:p>
          <w:p w:rsidR="00C66401" w:rsidRDefault="00C66401" w:rsidP="00C6640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6640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</w:t>
            </w:r>
            <w:r w:rsid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0000</w:t>
            </w:r>
            <w:r w:rsid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0000000</w:t>
            </w:r>
            <w:r w:rsidR="00C81F2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000130</w:t>
            </w:r>
          </w:p>
          <w:p w:rsidR="00A60738" w:rsidRPr="00A60738" w:rsidRDefault="00A60738" w:rsidP="00A60738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Начальник отдела финансового контроля и аудита </w:t>
            </w:r>
          </w:p>
          <w:p w:rsidR="00D61904" w:rsidRDefault="00A60738" w:rsidP="00A60738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proofErr w:type="spellStart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 главного врача по экономическим вопросам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</w:p>
          <w:p w:rsidR="00CE607E" w:rsidRPr="00CE607E" w:rsidRDefault="00A60738" w:rsidP="00D61904">
            <w:pPr>
              <w:snapToGrid w:val="0"/>
              <w:spacing w:after="0" w:line="160" w:lineRule="exact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CE607E" w:rsidRPr="00CE607E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="00A6073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Н.Н.</w:t>
            </w:r>
          </w:p>
          <w:p w:rsidR="00175CA2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</w:t>
            </w:r>
          </w:p>
          <w:p w:rsidR="00CE607E" w:rsidRPr="00CE607E" w:rsidRDefault="00CE607E" w:rsidP="00CE607E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E607E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9B0225" w:rsidRPr="00731320" w:rsidRDefault="009B0225" w:rsidP="000D459B">
            <w:pPr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162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4C023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(Ф.И.О.)</w:t>
            </w:r>
          </w:p>
          <w:p w:rsidR="005534E7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Паспорт, либо иной документ удостоверяющий </w:t>
            </w:r>
          </w:p>
          <w:p w:rsidR="00D7535D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личность __________________________________</w:t>
            </w:r>
            <w:r w:rsidR="00C47B0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</w:p>
          <w:p w:rsidR="005534E7" w:rsidRPr="00731320" w:rsidRDefault="005534E7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</w:t>
            </w:r>
            <w:r w:rsidR="005534E7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(серия, номер)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»_____________</w:t>
            </w:r>
            <w:proofErr w:type="gramStart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</w:t>
            </w:r>
            <w:proofErr w:type="gramEnd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</w:t>
            </w:r>
            <w:r w:rsidR="0017283D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="00B7527B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495496" w:rsidRPr="00731320" w:rsidRDefault="00495496" w:rsidP="004C6113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C6113" w:rsidRDefault="004C6113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9B0225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</w:t>
            </w:r>
          </w:p>
        </w:tc>
      </w:tr>
      <w:tr w:rsidR="00603880" w:rsidRPr="00731320" w:rsidTr="00B82EEB">
        <w:trPr>
          <w:trHeight w:val="1721"/>
        </w:trPr>
        <w:tc>
          <w:tcPr>
            <w:tcW w:w="4872" w:type="dxa"/>
          </w:tcPr>
          <w:p w:rsidR="00603880" w:rsidRPr="00731320" w:rsidRDefault="00603880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603880" w:rsidRDefault="00603008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  <w:p w:rsidR="00B03A85" w:rsidRPr="00731320" w:rsidRDefault="00B03A85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</w:p>
        </w:tc>
      </w:tr>
    </w:tbl>
    <w:p w:rsidR="00F7369A" w:rsidRDefault="00F7369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8B7CAB" w:rsidRDefault="008B7CAB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014FEE" w:rsidRDefault="00014FEE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B0423D" w:rsidRDefault="00B0423D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  <w:bookmarkStart w:id="0" w:name="_GoBack"/>
      <w:bookmarkEnd w:id="0"/>
    </w:p>
    <w:sectPr w:rsidR="00B0423D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318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2C75"/>
    <w:rsid w:val="00267E1B"/>
    <w:rsid w:val="00270713"/>
    <w:rsid w:val="00271FB5"/>
    <w:rsid w:val="00273891"/>
    <w:rsid w:val="002830C0"/>
    <w:rsid w:val="00284085"/>
    <w:rsid w:val="0028637B"/>
    <w:rsid w:val="0029012C"/>
    <w:rsid w:val="00291C27"/>
    <w:rsid w:val="00293266"/>
    <w:rsid w:val="002A01E1"/>
    <w:rsid w:val="002A6DEE"/>
    <w:rsid w:val="002B3FD6"/>
    <w:rsid w:val="002C14D5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DB3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2734"/>
    <w:rsid w:val="00495496"/>
    <w:rsid w:val="00495957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112B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A053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2F1"/>
    <w:rsid w:val="0090064B"/>
    <w:rsid w:val="00902069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A04E88"/>
    <w:rsid w:val="00A0521C"/>
    <w:rsid w:val="00A06A05"/>
    <w:rsid w:val="00A10DDA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95BBA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E02D25"/>
    <w:rsid w:val="00E03526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252E"/>
    <w:rsid w:val="00F5605C"/>
    <w:rsid w:val="00F63605"/>
    <w:rsid w:val="00F65C96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7407-990B-4918-92C1-8CBBF078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8</cp:revision>
  <cp:lastPrinted>2025-10-29T06:07:00Z</cp:lastPrinted>
  <dcterms:created xsi:type="dcterms:W3CDTF">2025-10-31T02:52:00Z</dcterms:created>
  <dcterms:modified xsi:type="dcterms:W3CDTF">2025-11-05T06:17:00Z</dcterms:modified>
</cp:coreProperties>
</file>